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6CD7" w14:textId="388FFCC2" w:rsidR="00D032BD" w:rsidRDefault="00D032BD" w:rsidP="00D032BD">
      <w:pPr>
        <w:rPr>
          <w:b/>
          <w:bCs/>
        </w:rPr>
      </w:pPr>
      <w:r w:rsidRPr="00D032BD">
        <w:rPr>
          <w:b/>
          <w:bCs/>
        </w:rPr>
        <w:t>Directive interne – Traitement des heures supplémentaires à fin d’année civile</w:t>
      </w:r>
      <w:r>
        <w:rPr>
          <w:b/>
          <w:bCs/>
        </w:rPr>
        <w:t xml:space="preserve"> (Article 28 CN)</w:t>
      </w:r>
    </w:p>
    <w:p w14:paraId="78AF68F0" w14:textId="77777777" w:rsidR="00D72CB5" w:rsidRPr="00D032BD" w:rsidRDefault="00D72CB5" w:rsidP="00D032BD">
      <w:pPr>
        <w:rPr>
          <w:b/>
          <w:bCs/>
        </w:rPr>
      </w:pPr>
    </w:p>
    <w:p w14:paraId="464A5A9B" w14:textId="77777777" w:rsidR="00D032BD" w:rsidRPr="00D032BD" w:rsidRDefault="00D032BD" w:rsidP="00D032BD">
      <w:r w:rsidRPr="00D032BD">
        <w:rPr>
          <w:b/>
          <w:bCs/>
        </w:rPr>
        <w:t>Objet :</w:t>
      </w:r>
      <w:r w:rsidRPr="00D032BD">
        <w:t xml:space="preserve"> Règlement obligatoire du solde des heures supplémentaires au 31 décembre – Transfert intégral sur le compte de vacances supplémentaires</w:t>
      </w:r>
    </w:p>
    <w:p w14:paraId="427D81E0" w14:textId="77777777" w:rsidR="00D72CB5" w:rsidRDefault="00D72CB5" w:rsidP="00D032BD">
      <w:pPr>
        <w:rPr>
          <w:b/>
          <w:bCs/>
        </w:rPr>
      </w:pPr>
    </w:p>
    <w:p w14:paraId="78621141" w14:textId="653CF4B4" w:rsidR="00D72CB5" w:rsidRDefault="00D032BD" w:rsidP="00D032BD">
      <w:r w:rsidRPr="00D032BD">
        <w:rPr>
          <w:b/>
          <w:bCs/>
        </w:rPr>
        <w:t>Base légale :</w:t>
      </w:r>
      <w:r w:rsidRPr="00D032BD">
        <w:t xml:space="preserve"> Article 28, alinéas 3, 5 et 6 de la Convention Nationale du secteur principal de la construction (CN 2026-2031), ainsi que l’article 28bis (Compte de vacances supplémentaires).</w:t>
      </w:r>
    </w:p>
    <w:p w14:paraId="6F45B168" w14:textId="77777777" w:rsidR="00D72CB5" w:rsidRPr="00D032BD" w:rsidRDefault="00D72CB5" w:rsidP="00D032BD"/>
    <w:p w14:paraId="065CC399" w14:textId="77777777" w:rsidR="00D032BD" w:rsidRPr="00D032BD" w:rsidRDefault="00D032BD" w:rsidP="00D032BD">
      <w:pPr>
        <w:rPr>
          <w:b/>
          <w:bCs/>
        </w:rPr>
      </w:pPr>
      <w:r w:rsidRPr="00D032BD">
        <w:rPr>
          <w:b/>
          <w:bCs/>
        </w:rPr>
        <w:t>1. Principe général</w:t>
      </w:r>
    </w:p>
    <w:p w14:paraId="2FC87CA1" w14:textId="77777777" w:rsidR="00D032BD" w:rsidRPr="00D032BD" w:rsidRDefault="00D032BD" w:rsidP="00D032BD">
      <w:r w:rsidRPr="00D032BD">
        <w:t>Dans la limite des possibilités prévues par l’article 28 CN, le solde des heures supplémentaires existant au 31 décembre de chaque année est traité comme suit :</w:t>
      </w:r>
    </w:p>
    <w:p w14:paraId="3962013C" w14:textId="77777777" w:rsidR="00D032BD" w:rsidRPr="00D032BD" w:rsidRDefault="00D032BD" w:rsidP="00D032BD">
      <w:r w:rsidRPr="00D032BD">
        <w:rPr>
          <w:b/>
          <w:bCs/>
        </w:rPr>
        <w:t>L’ensemble du solde d’heures supplémentaires, jusqu’à concurrence de 100 heures</w:t>
      </w:r>
      <w:r w:rsidRPr="00D032BD">
        <w:t xml:space="preserve">, est transféré intégralement sur le </w:t>
      </w:r>
      <w:r w:rsidRPr="00D032BD">
        <w:rPr>
          <w:b/>
          <w:bCs/>
        </w:rPr>
        <w:t>compte de vacances supplémentaires</w:t>
      </w:r>
      <w:r w:rsidRPr="00D032BD">
        <w:t xml:space="preserve"> du salarié.</w:t>
      </w:r>
    </w:p>
    <w:p w14:paraId="7FD61EFA" w14:textId="77777777" w:rsidR="00D032BD" w:rsidRPr="00D032BD" w:rsidRDefault="00D032BD" w:rsidP="00D032BD">
      <w:r w:rsidRPr="00D032BD">
        <w:t>Ce transfert s’applique tant à la part revenant à l’employeur qu’à la part revenant au salarié.</w:t>
      </w:r>
    </w:p>
    <w:p w14:paraId="546F6843" w14:textId="77777777" w:rsidR="00D032BD" w:rsidRPr="00D032BD" w:rsidRDefault="00D032BD" w:rsidP="00D032BD">
      <w:pPr>
        <w:rPr>
          <w:b/>
          <w:bCs/>
        </w:rPr>
      </w:pPr>
      <w:r w:rsidRPr="00D032BD">
        <w:rPr>
          <w:b/>
          <w:bCs/>
        </w:rPr>
        <w:t>2. Base de cette directive</w:t>
      </w:r>
    </w:p>
    <w:p w14:paraId="50FFAD87" w14:textId="77777777" w:rsidR="00D032BD" w:rsidRPr="00D032BD" w:rsidRDefault="00D032BD" w:rsidP="00D032BD">
      <w:r w:rsidRPr="00D032BD">
        <w:t xml:space="preserve">Chaque salarié a signé un </w:t>
      </w:r>
      <w:r w:rsidRPr="00D032BD">
        <w:rPr>
          <w:b/>
          <w:bCs/>
        </w:rPr>
        <w:t>avenant au contrat de travail</w:t>
      </w:r>
      <w:r w:rsidRPr="00D032BD">
        <w:t xml:space="preserve"> par lequel il a expressément choisi et accepté que :</w:t>
      </w:r>
    </w:p>
    <w:p w14:paraId="7BB0F00D" w14:textId="77777777" w:rsidR="00D032BD" w:rsidRPr="00D032BD" w:rsidRDefault="00D032BD" w:rsidP="00D032BD">
      <w:pPr>
        <w:numPr>
          <w:ilvl w:val="0"/>
          <w:numId w:val="15"/>
        </w:numPr>
      </w:pPr>
      <w:r w:rsidRPr="00D032BD">
        <w:t>Ses heures supplémentaires soient transférées sur le compte de vacances supplémentaires conformément à l’art. 28 al. 5 lettre c CN ;</w:t>
      </w:r>
    </w:p>
    <w:p w14:paraId="4DF62506" w14:textId="77777777" w:rsidR="00D032BD" w:rsidRPr="00D032BD" w:rsidRDefault="00D032BD" w:rsidP="00D032BD">
      <w:pPr>
        <w:numPr>
          <w:ilvl w:val="0"/>
          <w:numId w:val="15"/>
        </w:numPr>
      </w:pPr>
      <w:r w:rsidRPr="00D032BD">
        <w:t>Ce choix s’applique également à la moitié du solde normalement décidée par le salarié (moitié-moitié prévue à l’art. 28 al. 5) ;</w:t>
      </w:r>
    </w:p>
    <w:p w14:paraId="76F72C38" w14:textId="77777777" w:rsidR="00D032BD" w:rsidRDefault="00D032BD" w:rsidP="00D032BD">
      <w:pPr>
        <w:numPr>
          <w:ilvl w:val="0"/>
          <w:numId w:val="15"/>
        </w:numPr>
      </w:pPr>
      <w:r w:rsidRPr="00D032BD">
        <w:t>Le transfert porte sur l’ensemble des heures supplémentaires jusqu’à 100 heures par année civile.</w:t>
      </w:r>
    </w:p>
    <w:p w14:paraId="569A67E9" w14:textId="77777777" w:rsidR="0084666E" w:rsidRPr="00D032BD" w:rsidRDefault="0084666E" w:rsidP="0084666E">
      <w:pPr>
        <w:ind w:left="720"/>
      </w:pPr>
    </w:p>
    <w:p w14:paraId="573B41F2" w14:textId="77777777" w:rsidR="00D032BD" w:rsidRPr="00D032BD" w:rsidRDefault="00D032BD" w:rsidP="00D032BD">
      <w:pPr>
        <w:rPr>
          <w:b/>
          <w:bCs/>
        </w:rPr>
      </w:pPr>
      <w:r w:rsidRPr="00D032BD">
        <w:rPr>
          <w:b/>
          <w:bCs/>
        </w:rPr>
        <w:t>3. Conditions d’application</w:t>
      </w:r>
    </w:p>
    <w:p w14:paraId="175DCB77" w14:textId="77777777" w:rsidR="00D032BD" w:rsidRPr="00D032BD" w:rsidRDefault="00D032BD" w:rsidP="00D032BD">
      <w:pPr>
        <w:numPr>
          <w:ilvl w:val="0"/>
          <w:numId w:val="16"/>
        </w:numPr>
      </w:pPr>
      <w:r w:rsidRPr="00D032BD">
        <w:t xml:space="preserve">Cette directive ne s’applique que dans les entreprises où un </w:t>
      </w:r>
      <w:r w:rsidRPr="00D032BD">
        <w:rPr>
          <w:b/>
          <w:bCs/>
        </w:rPr>
        <w:t>compte de vacances supplémentaires</w:t>
      </w:r>
      <w:r w:rsidRPr="00D032BD">
        <w:t xml:space="preserve"> a été mis en place conformément à l’art. 28bis CN.</w:t>
      </w:r>
    </w:p>
    <w:p w14:paraId="045352F3" w14:textId="77777777" w:rsidR="00D032BD" w:rsidRPr="00D032BD" w:rsidRDefault="00D032BD" w:rsidP="00D032BD">
      <w:pPr>
        <w:numPr>
          <w:ilvl w:val="0"/>
          <w:numId w:val="16"/>
        </w:numPr>
      </w:pPr>
      <w:r w:rsidRPr="00D032BD">
        <w:lastRenderedPageBreak/>
        <w:t xml:space="preserve">Le transfert est limité à </w:t>
      </w:r>
      <w:r w:rsidRPr="00D032BD">
        <w:rPr>
          <w:b/>
          <w:bCs/>
        </w:rPr>
        <w:t>maximum 100 heures</w:t>
      </w:r>
      <w:r w:rsidRPr="00D032BD">
        <w:t xml:space="preserve"> par année civile pour le solde existant au 31 décembre.</w:t>
      </w:r>
    </w:p>
    <w:p w14:paraId="0BA1E908" w14:textId="77777777" w:rsidR="00D032BD" w:rsidRDefault="00D032BD" w:rsidP="00D032BD">
      <w:pPr>
        <w:numPr>
          <w:ilvl w:val="0"/>
          <w:numId w:val="16"/>
        </w:numPr>
      </w:pPr>
      <w:r w:rsidRPr="00D032BD">
        <w:t>Tout solde d’heures supplémentaires dépassant ces 100 heures reste soumis aux règles générales de l’art. 28 CN (report sur le compte heures supplémentaires dans la limite de 120 heures, paiement avec ou sans majoration de 25 %, ou compensation par temps libre).</w:t>
      </w:r>
    </w:p>
    <w:p w14:paraId="5D758696" w14:textId="77777777" w:rsidR="00D032BD" w:rsidRDefault="00D032BD" w:rsidP="00D032BD">
      <w:pPr>
        <w:numPr>
          <w:ilvl w:val="0"/>
          <w:numId w:val="16"/>
        </w:numPr>
      </w:pPr>
      <w:r w:rsidRPr="00D032BD">
        <w:t xml:space="preserve">Le transfert est effectué </w:t>
      </w:r>
      <w:r w:rsidRPr="00D032BD">
        <w:rPr>
          <w:b/>
          <w:bCs/>
        </w:rPr>
        <w:t>au plus tard le 31 janvier</w:t>
      </w:r>
      <w:r w:rsidRPr="00D032BD">
        <w:t xml:space="preserve"> de l’année suivante.</w:t>
      </w:r>
    </w:p>
    <w:p w14:paraId="674C0CD1" w14:textId="77777777" w:rsidR="0084666E" w:rsidRPr="00D032BD" w:rsidRDefault="0084666E" w:rsidP="0084666E">
      <w:pPr>
        <w:ind w:left="720"/>
      </w:pPr>
    </w:p>
    <w:p w14:paraId="00B9088E" w14:textId="77777777" w:rsidR="00D032BD" w:rsidRPr="00D032BD" w:rsidRDefault="00D032BD" w:rsidP="00D032BD">
      <w:pPr>
        <w:rPr>
          <w:b/>
          <w:bCs/>
        </w:rPr>
      </w:pPr>
      <w:r w:rsidRPr="00D032BD">
        <w:rPr>
          <w:b/>
          <w:bCs/>
        </w:rPr>
        <w:t>4. Procédure</w:t>
      </w:r>
    </w:p>
    <w:p w14:paraId="5589DDD1" w14:textId="5A61A187" w:rsidR="00D032BD" w:rsidRPr="00D032BD" w:rsidRDefault="00121150" w:rsidP="00D032BD">
      <w:pPr>
        <w:numPr>
          <w:ilvl w:val="0"/>
          <w:numId w:val="17"/>
        </w:numPr>
      </w:pPr>
      <w:r>
        <w:t>L</w:t>
      </w:r>
      <w:r w:rsidR="00D032BD" w:rsidRPr="00D032BD">
        <w:t>’employeur communique par écrit à chaque salarié le solde provisoire ou définitif de ses heures supplémentaires au 31 décembre.</w:t>
      </w:r>
    </w:p>
    <w:p w14:paraId="250F778A" w14:textId="77777777" w:rsidR="00D032BD" w:rsidRPr="00D032BD" w:rsidRDefault="00D032BD" w:rsidP="00D032BD">
      <w:pPr>
        <w:numPr>
          <w:ilvl w:val="0"/>
          <w:numId w:val="17"/>
        </w:numPr>
      </w:pPr>
      <w:r w:rsidRPr="00D032BD">
        <w:t xml:space="preserve">L’employeur procède au transfert automatique de </w:t>
      </w:r>
      <w:r w:rsidRPr="00D032BD">
        <w:rPr>
          <w:b/>
          <w:bCs/>
        </w:rPr>
        <w:t>jusqu’à 100 heures</w:t>
      </w:r>
      <w:r w:rsidRPr="00D032BD">
        <w:t xml:space="preserve"> sur le compte de vacances supplémentaires du salarié.</w:t>
      </w:r>
    </w:p>
    <w:p w14:paraId="5D69BB8D" w14:textId="77777777" w:rsidR="00D032BD" w:rsidRPr="00D032BD" w:rsidRDefault="00D032BD" w:rsidP="00D032BD">
      <w:pPr>
        <w:numPr>
          <w:ilvl w:val="0"/>
          <w:numId w:val="17"/>
        </w:numPr>
      </w:pPr>
      <w:r w:rsidRPr="00D032BD">
        <w:t>Un décompte écrit détaillé est remis au salarié au plus tard fin janvier, mentionnant :</w:t>
      </w:r>
    </w:p>
    <w:p w14:paraId="3C4D08EF" w14:textId="77777777" w:rsidR="00D032BD" w:rsidRPr="00D032BD" w:rsidRDefault="00D032BD" w:rsidP="00D032BD">
      <w:pPr>
        <w:numPr>
          <w:ilvl w:val="1"/>
          <w:numId w:val="17"/>
        </w:numPr>
      </w:pPr>
      <w:r w:rsidRPr="00D032BD">
        <w:t>Le nombre d’heures transférées ;</w:t>
      </w:r>
    </w:p>
    <w:p w14:paraId="725C8433" w14:textId="77777777" w:rsidR="00D032BD" w:rsidRPr="00D032BD" w:rsidRDefault="00D032BD" w:rsidP="00D032BD">
      <w:pPr>
        <w:numPr>
          <w:ilvl w:val="1"/>
          <w:numId w:val="17"/>
        </w:numPr>
      </w:pPr>
      <w:r w:rsidRPr="00D032BD">
        <w:t>Le nouveau solde du compte de vacances supplémentaires ;</w:t>
      </w:r>
    </w:p>
    <w:p w14:paraId="62488E63" w14:textId="77777777" w:rsidR="00D032BD" w:rsidRDefault="00D032BD" w:rsidP="00D032BD">
      <w:pPr>
        <w:numPr>
          <w:ilvl w:val="1"/>
          <w:numId w:val="17"/>
        </w:numPr>
      </w:pPr>
      <w:r w:rsidRPr="00D032BD">
        <w:t>Le solde restant éventuel sur le compte heures supplémentaires.</w:t>
      </w:r>
    </w:p>
    <w:p w14:paraId="74146778" w14:textId="5EBC246F" w:rsidR="00373204" w:rsidRDefault="00373204" w:rsidP="00373204">
      <w:pPr>
        <w:numPr>
          <w:ilvl w:val="0"/>
          <w:numId w:val="17"/>
        </w:numPr>
      </w:pPr>
      <w:r>
        <w:t>Le décompte doit être signé par l’employé.</w:t>
      </w:r>
    </w:p>
    <w:p w14:paraId="3F81D556" w14:textId="77777777" w:rsidR="0084666E" w:rsidRPr="00D032BD" w:rsidRDefault="0084666E" w:rsidP="0084666E">
      <w:pPr>
        <w:ind w:left="1440"/>
      </w:pPr>
    </w:p>
    <w:p w14:paraId="148B6188" w14:textId="77777777" w:rsidR="00D032BD" w:rsidRPr="00D032BD" w:rsidRDefault="00D032BD" w:rsidP="00D032BD">
      <w:pPr>
        <w:rPr>
          <w:b/>
          <w:bCs/>
        </w:rPr>
      </w:pPr>
      <w:r w:rsidRPr="00D032BD">
        <w:rPr>
          <w:b/>
          <w:bCs/>
        </w:rPr>
        <w:t>5. Utilisation du compte de vacances supplémentaires</w:t>
      </w:r>
    </w:p>
    <w:p w14:paraId="422951A8" w14:textId="77777777" w:rsidR="00D032BD" w:rsidRPr="00D032BD" w:rsidRDefault="00D032BD" w:rsidP="00D032BD">
      <w:r w:rsidRPr="00D032BD">
        <w:t>Les heures transférées sur le compte de vacances supplémentaires sont utilisables conformément aux dispositions de l’art. 28bis CN (congés supplémentaires, réduction du temps de travail, formations, etc.).</w:t>
      </w:r>
    </w:p>
    <w:p w14:paraId="67865EDA" w14:textId="28F1B5D3" w:rsidR="0084666E" w:rsidRDefault="00D032BD" w:rsidP="00D032BD">
      <w:r w:rsidRPr="00D032BD">
        <w:t xml:space="preserve">Le solde maximal autorisé sur le compte de vacances supplémentaires est fixé à </w:t>
      </w:r>
      <w:r w:rsidRPr="00D032BD">
        <w:rPr>
          <w:b/>
          <w:bCs/>
        </w:rPr>
        <w:t>700 heures</w:t>
      </w:r>
      <w:r w:rsidRPr="00D032BD">
        <w:t xml:space="preserve"> (sous réserve des dispositions conventionnelles en vigueur).</w:t>
      </w:r>
    </w:p>
    <w:p w14:paraId="372C0C32" w14:textId="77777777" w:rsidR="0084666E" w:rsidRPr="00D032BD" w:rsidRDefault="0084666E" w:rsidP="00D032BD"/>
    <w:p w14:paraId="008473A7" w14:textId="77777777" w:rsidR="00D032BD" w:rsidRPr="00D032BD" w:rsidRDefault="00D032BD" w:rsidP="00D032BD">
      <w:pPr>
        <w:rPr>
          <w:b/>
          <w:bCs/>
        </w:rPr>
      </w:pPr>
      <w:r w:rsidRPr="00D032BD">
        <w:rPr>
          <w:b/>
          <w:bCs/>
        </w:rPr>
        <w:t>6. Dispositions finales</w:t>
      </w:r>
    </w:p>
    <w:p w14:paraId="74557467" w14:textId="77777777" w:rsidR="00D032BD" w:rsidRPr="00D032BD" w:rsidRDefault="00D032BD" w:rsidP="00D032BD">
      <w:pPr>
        <w:numPr>
          <w:ilvl w:val="0"/>
          <w:numId w:val="18"/>
        </w:numPr>
      </w:pPr>
      <w:r w:rsidRPr="00D032BD">
        <w:t>Cette directive fait partie intégrante des conditions de travail de l’entreprise et s’applique à tous les salariés ayant signé l’avenant au contrat de travail relatif au compte de vacances supplémentaires.</w:t>
      </w:r>
    </w:p>
    <w:p w14:paraId="0D5F901A" w14:textId="77777777" w:rsidR="00D032BD" w:rsidRPr="00D032BD" w:rsidRDefault="00D032BD" w:rsidP="00D032BD">
      <w:pPr>
        <w:numPr>
          <w:ilvl w:val="0"/>
          <w:numId w:val="18"/>
        </w:numPr>
      </w:pPr>
      <w:r w:rsidRPr="00D032BD">
        <w:lastRenderedPageBreak/>
        <w:t>En cas de fin des rapports de travail, les heures accumulées sur le compte de vacances supplémentaires sont réglées selon les règles légales et conventionnelles applicables (paiement ou compensation).</w:t>
      </w:r>
    </w:p>
    <w:p w14:paraId="2627FE0D" w14:textId="77777777" w:rsidR="00D032BD" w:rsidRPr="00D032BD" w:rsidRDefault="00D032BD" w:rsidP="00D032BD">
      <w:pPr>
        <w:numPr>
          <w:ilvl w:val="0"/>
          <w:numId w:val="18"/>
        </w:numPr>
      </w:pPr>
      <w:r w:rsidRPr="00D032BD">
        <w:t>Toute modification de cette directive nécessite un accord écrit entre les parties.</w:t>
      </w:r>
    </w:p>
    <w:p w14:paraId="1F69ACE5" w14:textId="77777777" w:rsidR="002E5865" w:rsidRDefault="002E5865" w:rsidP="00D032BD">
      <w:pPr>
        <w:rPr>
          <w:b/>
          <w:bCs/>
        </w:rPr>
      </w:pPr>
    </w:p>
    <w:p w14:paraId="418AB52E" w14:textId="77777777" w:rsidR="0084666E" w:rsidRDefault="0084666E" w:rsidP="00D032BD">
      <w:pPr>
        <w:rPr>
          <w:b/>
          <w:bCs/>
        </w:rPr>
      </w:pPr>
    </w:p>
    <w:p w14:paraId="126B370E" w14:textId="2FDCB7FA" w:rsidR="00D72CB5" w:rsidRDefault="00D032BD" w:rsidP="00D032BD">
      <w:r w:rsidRPr="00D032BD">
        <w:rPr>
          <w:b/>
          <w:bCs/>
        </w:rPr>
        <w:t>Approuvé par :</w:t>
      </w:r>
      <w:r w:rsidRPr="00D032BD">
        <w:t xml:space="preserve"> [Nom et fonction de l’employeur ] Date : </w:t>
      </w:r>
    </w:p>
    <w:p w14:paraId="674A12EF" w14:textId="5FB3DE7C" w:rsidR="00D032BD" w:rsidRPr="00D032BD" w:rsidRDefault="00D032BD" w:rsidP="00D032BD">
      <w:r w:rsidRPr="00D032BD">
        <w:t>________________________</w:t>
      </w:r>
    </w:p>
    <w:p w14:paraId="1FC54F57" w14:textId="77777777" w:rsidR="00D032BD" w:rsidRDefault="00D032BD" w:rsidP="00D032BD">
      <w:r w:rsidRPr="00D032BD">
        <w:rPr>
          <w:b/>
          <w:bCs/>
        </w:rPr>
        <w:t>Accusé de réception et confirmation du salarié :</w:t>
      </w:r>
      <w:r w:rsidRPr="00D032BD">
        <w:t xml:space="preserve"> Je soussigné(e) confirme avoir pris connaissance de cette directive. Je rappelle que, par avenant au contrat de travail du [date de l’avenant], j’ai choisi et accepté le transfert intégral de mes heures supplémentaires (jusqu’à 100 heures) sur le compte de vacances supplémentaires conformément à l’art. 28 al. 5 lettre c CN.</w:t>
      </w:r>
    </w:p>
    <w:p w14:paraId="5A8F515B" w14:textId="77777777" w:rsidR="002E5865" w:rsidRPr="00D032BD" w:rsidRDefault="002E5865" w:rsidP="00D032BD"/>
    <w:p w14:paraId="6F818163" w14:textId="77777777" w:rsidR="00D032BD" w:rsidRPr="00D032BD" w:rsidRDefault="00D032BD" w:rsidP="00D032BD">
      <w:r w:rsidRPr="00D032BD">
        <w:t>Nom : ________________________ Signature : ________________________ Date : ________</w:t>
      </w:r>
    </w:p>
    <w:p w14:paraId="132CDB71" w14:textId="77777777" w:rsidR="00263A8C" w:rsidRPr="00D032BD" w:rsidRDefault="00263A8C" w:rsidP="00D032BD"/>
    <w:sectPr w:rsidR="00263A8C" w:rsidRPr="00D03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790"/>
    <w:multiLevelType w:val="multilevel"/>
    <w:tmpl w:val="6A466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F3D68"/>
    <w:multiLevelType w:val="multilevel"/>
    <w:tmpl w:val="FBB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222B"/>
    <w:multiLevelType w:val="multilevel"/>
    <w:tmpl w:val="2C3E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C0778"/>
    <w:multiLevelType w:val="multilevel"/>
    <w:tmpl w:val="F530C9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57502"/>
    <w:multiLevelType w:val="multilevel"/>
    <w:tmpl w:val="2E062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A42CE"/>
    <w:multiLevelType w:val="hybridMultilevel"/>
    <w:tmpl w:val="076C14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CE26F16"/>
    <w:multiLevelType w:val="multilevel"/>
    <w:tmpl w:val="C8D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E01CA"/>
    <w:multiLevelType w:val="multilevel"/>
    <w:tmpl w:val="F530C9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87F1F"/>
    <w:multiLevelType w:val="multilevel"/>
    <w:tmpl w:val="4406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94BD8"/>
    <w:multiLevelType w:val="multilevel"/>
    <w:tmpl w:val="BCE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8051E"/>
    <w:multiLevelType w:val="multilevel"/>
    <w:tmpl w:val="E5B2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867560"/>
    <w:multiLevelType w:val="multilevel"/>
    <w:tmpl w:val="6A90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43010"/>
    <w:multiLevelType w:val="multilevel"/>
    <w:tmpl w:val="8C7C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616B8"/>
    <w:multiLevelType w:val="multilevel"/>
    <w:tmpl w:val="76C4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F7B2A"/>
    <w:multiLevelType w:val="multilevel"/>
    <w:tmpl w:val="B3B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40963"/>
    <w:multiLevelType w:val="multilevel"/>
    <w:tmpl w:val="86F2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B100F"/>
    <w:multiLevelType w:val="multilevel"/>
    <w:tmpl w:val="8834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2577">
    <w:abstractNumId w:val="14"/>
  </w:num>
  <w:num w:numId="2" w16cid:durableId="231476453">
    <w:abstractNumId w:val="6"/>
  </w:num>
  <w:num w:numId="3" w16cid:durableId="561990699">
    <w:abstractNumId w:val="10"/>
  </w:num>
  <w:num w:numId="4" w16cid:durableId="264926114">
    <w:abstractNumId w:val="12"/>
  </w:num>
  <w:num w:numId="5" w16cid:durableId="1727139190">
    <w:abstractNumId w:val="13"/>
  </w:num>
  <w:num w:numId="6" w16cid:durableId="1863857383">
    <w:abstractNumId w:val="4"/>
  </w:num>
  <w:num w:numId="7" w16cid:durableId="2011832697">
    <w:abstractNumId w:val="4"/>
    <w:lvlOverride w:ilvl="1">
      <w:lvl w:ilvl="1">
        <w:numFmt w:val="decimal"/>
        <w:lvlText w:val="%2."/>
        <w:lvlJc w:val="left"/>
      </w:lvl>
    </w:lvlOverride>
  </w:num>
  <w:num w:numId="8" w16cid:durableId="1462264738">
    <w:abstractNumId w:val="1"/>
  </w:num>
  <w:num w:numId="9" w16cid:durableId="469397639">
    <w:abstractNumId w:val="2"/>
  </w:num>
  <w:num w:numId="10" w16cid:durableId="1732269249">
    <w:abstractNumId w:val="9"/>
  </w:num>
  <w:num w:numId="11" w16cid:durableId="1178229181">
    <w:abstractNumId w:val="5"/>
  </w:num>
  <w:num w:numId="12" w16cid:durableId="1188831530">
    <w:abstractNumId w:val="3"/>
  </w:num>
  <w:num w:numId="13" w16cid:durableId="867598199">
    <w:abstractNumId w:val="7"/>
  </w:num>
  <w:num w:numId="14" w16cid:durableId="689113643">
    <w:abstractNumId w:val="16"/>
  </w:num>
  <w:num w:numId="15" w16cid:durableId="451217517">
    <w:abstractNumId w:val="8"/>
  </w:num>
  <w:num w:numId="16" w16cid:durableId="684207927">
    <w:abstractNumId w:val="11"/>
  </w:num>
  <w:num w:numId="17" w16cid:durableId="1901356415">
    <w:abstractNumId w:val="0"/>
  </w:num>
  <w:num w:numId="18" w16cid:durableId="365521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48"/>
    <w:rsid w:val="000B1E48"/>
    <w:rsid w:val="00121150"/>
    <w:rsid w:val="001826F7"/>
    <w:rsid w:val="00195891"/>
    <w:rsid w:val="001C6B03"/>
    <w:rsid w:val="00245CCE"/>
    <w:rsid w:val="00263A8C"/>
    <w:rsid w:val="002E5865"/>
    <w:rsid w:val="00373204"/>
    <w:rsid w:val="00470534"/>
    <w:rsid w:val="00481F13"/>
    <w:rsid w:val="005110BF"/>
    <w:rsid w:val="00602CCD"/>
    <w:rsid w:val="00670815"/>
    <w:rsid w:val="00702E9D"/>
    <w:rsid w:val="00732C37"/>
    <w:rsid w:val="0084666E"/>
    <w:rsid w:val="00851A5B"/>
    <w:rsid w:val="008F0FE0"/>
    <w:rsid w:val="0090475D"/>
    <w:rsid w:val="00957063"/>
    <w:rsid w:val="009A09C8"/>
    <w:rsid w:val="00A31BED"/>
    <w:rsid w:val="00AD53AA"/>
    <w:rsid w:val="00B73359"/>
    <w:rsid w:val="00D032BD"/>
    <w:rsid w:val="00D347A9"/>
    <w:rsid w:val="00D36AFE"/>
    <w:rsid w:val="00D72CB5"/>
    <w:rsid w:val="00D9068F"/>
    <w:rsid w:val="00E213D7"/>
    <w:rsid w:val="00E81328"/>
    <w:rsid w:val="00EA5329"/>
    <w:rsid w:val="00FB14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6D82"/>
  <w15:chartTrackingRefBased/>
  <w15:docId w15:val="{6F865C31-B36A-48EE-94A1-97E4EB98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1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1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1E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1E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1E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1E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1E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1E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1E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E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1E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1E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1E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1E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1E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1E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1E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1E48"/>
    <w:rPr>
      <w:rFonts w:eastAsiaTheme="majorEastAsia" w:cstheme="majorBidi"/>
      <w:color w:val="272727" w:themeColor="text1" w:themeTint="D8"/>
    </w:rPr>
  </w:style>
  <w:style w:type="paragraph" w:styleId="Titre">
    <w:name w:val="Title"/>
    <w:basedOn w:val="Normal"/>
    <w:next w:val="Normal"/>
    <w:link w:val="TitreCar"/>
    <w:uiPriority w:val="10"/>
    <w:qFormat/>
    <w:rsid w:val="000B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1E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1E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1E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1E48"/>
    <w:pPr>
      <w:spacing w:before="160"/>
      <w:jc w:val="center"/>
    </w:pPr>
    <w:rPr>
      <w:i/>
      <w:iCs/>
      <w:color w:val="404040" w:themeColor="text1" w:themeTint="BF"/>
    </w:rPr>
  </w:style>
  <w:style w:type="character" w:customStyle="1" w:styleId="CitationCar">
    <w:name w:val="Citation Car"/>
    <w:basedOn w:val="Policepardfaut"/>
    <w:link w:val="Citation"/>
    <w:uiPriority w:val="29"/>
    <w:rsid w:val="000B1E48"/>
    <w:rPr>
      <w:i/>
      <w:iCs/>
      <w:color w:val="404040" w:themeColor="text1" w:themeTint="BF"/>
    </w:rPr>
  </w:style>
  <w:style w:type="paragraph" w:styleId="Paragraphedeliste">
    <w:name w:val="List Paragraph"/>
    <w:basedOn w:val="Normal"/>
    <w:uiPriority w:val="34"/>
    <w:qFormat/>
    <w:rsid w:val="000B1E48"/>
    <w:pPr>
      <w:ind w:left="720"/>
      <w:contextualSpacing/>
    </w:pPr>
  </w:style>
  <w:style w:type="character" w:styleId="Accentuationintense">
    <w:name w:val="Intense Emphasis"/>
    <w:basedOn w:val="Policepardfaut"/>
    <w:uiPriority w:val="21"/>
    <w:qFormat/>
    <w:rsid w:val="000B1E48"/>
    <w:rPr>
      <w:i/>
      <w:iCs/>
      <w:color w:val="0F4761" w:themeColor="accent1" w:themeShade="BF"/>
    </w:rPr>
  </w:style>
  <w:style w:type="paragraph" w:styleId="Citationintense">
    <w:name w:val="Intense Quote"/>
    <w:basedOn w:val="Normal"/>
    <w:next w:val="Normal"/>
    <w:link w:val="CitationintenseCar"/>
    <w:uiPriority w:val="30"/>
    <w:qFormat/>
    <w:rsid w:val="000B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1E48"/>
    <w:rPr>
      <w:i/>
      <w:iCs/>
      <w:color w:val="0F4761" w:themeColor="accent1" w:themeShade="BF"/>
    </w:rPr>
  </w:style>
  <w:style w:type="character" w:styleId="Rfrenceintense">
    <w:name w:val="Intense Reference"/>
    <w:basedOn w:val="Policepardfaut"/>
    <w:uiPriority w:val="32"/>
    <w:qFormat/>
    <w:rsid w:val="000B1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1817">
      <w:bodyDiv w:val="1"/>
      <w:marLeft w:val="0"/>
      <w:marRight w:val="0"/>
      <w:marTop w:val="0"/>
      <w:marBottom w:val="0"/>
      <w:divBdr>
        <w:top w:val="none" w:sz="0" w:space="0" w:color="auto"/>
        <w:left w:val="none" w:sz="0" w:space="0" w:color="auto"/>
        <w:bottom w:val="none" w:sz="0" w:space="0" w:color="auto"/>
        <w:right w:val="none" w:sz="0" w:space="0" w:color="auto"/>
      </w:divBdr>
    </w:div>
    <w:div w:id="526912317">
      <w:bodyDiv w:val="1"/>
      <w:marLeft w:val="0"/>
      <w:marRight w:val="0"/>
      <w:marTop w:val="0"/>
      <w:marBottom w:val="0"/>
      <w:divBdr>
        <w:top w:val="none" w:sz="0" w:space="0" w:color="auto"/>
        <w:left w:val="none" w:sz="0" w:space="0" w:color="auto"/>
        <w:bottom w:val="none" w:sz="0" w:space="0" w:color="auto"/>
        <w:right w:val="none" w:sz="0" w:space="0" w:color="auto"/>
      </w:divBdr>
    </w:div>
    <w:div w:id="662010149">
      <w:bodyDiv w:val="1"/>
      <w:marLeft w:val="0"/>
      <w:marRight w:val="0"/>
      <w:marTop w:val="0"/>
      <w:marBottom w:val="0"/>
      <w:divBdr>
        <w:top w:val="none" w:sz="0" w:space="0" w:color="auto"/>
        <w:left w:val="none" w:sz="0" w:space="0" w:color="auto"/>
        <w:bottom w:val="none" w:sz="0" w:space="0" w:color="auto"/>
        <w:right w:val="none" w:sz="0" w:space="0" w:color="auto"/>
      </w:divBdr>
      <w:divsChild>
        <w:div w:id="1850679968">
          <w:marLeft w:val="0"/>
          <w:marRight w:val="0"/>
          <w:marTop w:val="0"/>
          <w:marBottom w:val="0"/>
          <w:divBdr>
            <w:top w:val="none" w:sz="0" w:space="0" w:color="auto"/>
            <w:left w:val="none" w:sz="0" w:space="0" w:color="auto"/>
            <w:bottom w:val="none" w:sz="0" w:space="0" w:color="auto"/>
            <w:right w:val="none" w:sz="0" w:space="0" w:color="auto"/>
          </w:divBdr>
          <w:divsChild>
            <w:div w:id="815998611">
              <w:marLeft w:val="0"/>
              <w:marRight w:val="0"/>
              <w:marTop w:val="0"/>
              <w:marBottom w:val="0"/>
              <w:divBdr>
                <w:top w:val="none" w:sz="0" w:space="0" w:color="auto"/>
                <w:left w:val="none" w:sz="0" w:space="0" w:color="auto"/>
                <w:bottom w:val="none" w:sz="0" w:space="0" w:color="auto"/>
                <w:right w:val="none" w:sz="0" w:space="0" w:color="auto"/>
              </w:divBdr>
              <w:divsChild>
                <w:div w:id="13079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5367">
      <w:bodyDiv w:val="1"/>
      <w:marLeft w:val="0"/>
      <w:marRight w:val="0"/>
      <w:marTop w:val="0"/>
      <w:marBottom w:val="0"/>
      <w:divBdr>
        <w:top w:val="none" w:sz="0" w:space="0" w:color="auto"/>
        <w:left w:val="none" w:sz="0" w:space="0" w:color="auto"/>
        <w:bottom w:val="none" w:sz="0" w:space="0" w:color="auto"/>
        <w:right w:val="none" w:sz="0" w:space="0" w:color="auto"/>
      </w:divBdr>
    </w:div>
    <w:div w:id="1364282050">
      <w:bodyDiv w:val="1"/>
      <w:marLeft w:val="0"/>
      <w:marRight w:val="0"/>
      <w:marTop w:val="0"/>
      <w:marBottom w:val="0"/>
      <w:divBdr>
        <w:top w:val="none" w:sz="0" w:space="0" w:color="auto"/>
        <w:left w:val="none" w:sz="0" w:space="0" w:color="auto"/>
        <w:bottom w:val="none" w:sz="0" w:space="0" w:color="auto"/>
        <w:right w:val="none" w:sz="0" w:space="0" w:color="auto"/>
      </w:divBdr>
      <w:divsChild>
        <w:div w:id="689262699">
          <w:marLeft w:val="0"/>
          <w:marRight w:val="0"/>
          <w:marTop w:val="0"/>
          <w:marBottom w:val="0"/>
          <w:divBdr>
            <w:top w:val="none" w:sz="0" w:space="0" w:color="auto"/>
            <w:left w:val="none" w:sz="0" w:space="0" w:color="auto"/>
            <w:bottom w:val="none" w:sz="0" w:space="0" w:color="auto"/>
            <w:right w:val="none" w:sz="0" w:space="0" w:color="auto"/>
          </w:divBdr>
          <w:divsChild>
            <w:div w:id="276105805">
              <w:marLeft w:val="0"/>
              <w:marRight w:val="0"/>
              <w:marTop w:val="0"/>
              <w:marBottom w:val="0"/>
              <w:divBdr>
                <w:top w:val="none" w:sz="0" w:space="0" w:color="auto"/>
                <w:left w:val="none" w:sz="0" w:space="0" w:color="auto"/>
                <w:bottom w:val="none" w:sz="0" w:space="0" w:color="auto"/>
                <w:right w:val="none" w:sz="0" w:space="0" w:color="auto"/>
              </w:divBdr>
              <w:divsChild>
                <w:div w:id="12652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615</Words>
  <Characters>3387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Lamon</dc:creator>
  <cp:keywords/>
  <dc:description/>
  <cp:lastModifiedBy>Anthony Lamon</cp:lastModifiedBy>
  <cp:revision>10</cp:revision>
  <cp:lastPrinted>2026-04-20T09:43:00Z</cp:lastPrinted>
  <dcterms:created xsi:type="dcterms:W3CDTF">2026-04-17T08:39:00Z</dcterms:created>
  <dcterms:modified xsi:type="dcterms:W3CDTF">2026-06-18T05:24:00Z</dcterms:modified>
</cp:coreProperties>
</file>